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6D55FA" w14:textId="77777777" w:rsidR="00037D7D" w:rsidRDefault="00037D7D" w:rsidP="00037D7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-79"/>
        <w:jc w:val="both"/>
        <w:rPr>
          <w:rFonts w:ascii="Arial" w:eastAsia="Arial" w:hAnsi="Arial" w:cs="Arial"/>
          <w:b/>
          <w:sz w:val="20"/>
          <w:szCs w:val="20"/>
        </w:rPr>
      </w:pPr>
      <w:r w:rsidRPr="00037D7D">
        <w:rPr>
          <w:rFonts w:ascii="Arial" w:eastAsia="Arial" w:hAnsi="Arial" w:cs="Arial"/>
          <w:b/>
          <w:sz w:val="20"/>
          <w:szCs w:val="20"/>
        </w:rPr>
        <w:t xml:space="preserve">“Sentencias de Violencia Política vs. </w:t>
      </w:r>
    </w:p>
    <w:p w14:paraId="2FA9F777" w14:textId="5DD07D8C" w:rsidR="00037D7D" w:rsidRPr="00037D7D" w:rsidRDefault="00037D7D" w:rsidP="00037D7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-79"/>
        <w:jc w:val="both"/>
        <w:rPr>
          <w:rFonts w:ascii="Arial" w:eastAsia="Arial" w:hAnsi="Arial" w:cs="Arial"/>
          <w:b/>
          <w:sz w:val="20"/>
          <w:szCs w:val="20"/>
        </w:rPr>
      </w:pPr>
      <w:r w:rsidRPr="00037D7D">
        <w:rPr>
          <w:rFonts w:ascii="Arial" w:eastAsia="Arial" w:hAnsi="Arial" w:cs="Arial"/>
          <w:b/>
          <w:sz w:val="20"/>
          <w:szCs w:val="20"/>
        </w:rPr>
        <w:t>Mujeres en Jalisco 2018-2023”</w:t>
      </w:r>
    </w:p>
    <w:p w14:paraId="00000004" w14:textId="48DC9053" w:rsidR="00800604" w:rsidRPr="00037D7D" w:rsidRDefault="00B727F5">
      <w:pPr>
        <w:spacing w:line="240" w:lineRule="auto"/>
        <w:ind w:right="-79"/>
        <w:rPr>
          <w:rFonts w:ascii="Arial" w:eastAsia="Arial" w:hAnsi="Arial" w:cs="Arial"/>
          <w:sz w:val="20"/>
          <w:szCs w:val="20"/>
        </w:rPr>
      </w:pPr>
      <w:r w:rsidRPr="00037D7D">
        <w:rPr>
          <w:rFonts w:ascii="Arial" w:eastAsia="Arial" w:hAnsi="Arial" w:cs="Arial"/>
          <w:sz w:val="20"/>
          <w:szCs w:val="20"/>
        </w:rPr>
        <w:t>Boletín rueda de prensa 11/07/2023</w:t>
      </w:r>
    </w:p>
    <w:p w14:paraId="1CD229FE" w14:textId="77777777" w:rsidR="00037D7D" w:rsidRDefault="00B727F5">
      <w:pPr>
        <w:spacing w:after="0" w:line="240" w:lineRule="auto"/>
        <w:ind w:right="-79"/>
        <w:jc w:val="both"/>
        <w:rPr>
          <w:rFonts w:ascii="Arial" w:eastAsia="Arial" w:hAnsi="Arial" w:cs="Arial"/>
          <w:b/>
          <w:sz w:val="20"/>
          <w:szCs w:val="20"/>
        </w:rPr>
      </w:pPr>
      <w:r w:rsidRPr="00037D7D">
        <w:rPr>
          <w:rFonts w:ascii="Arial" w:eastAsia="Arial" w:hAnsi="Arial" w:cs="Arial"/>
          <w:b/>
          <w:sz w:val="20"/>
          <w:szCs w:val="20"/>
        </w:rPr>
        <w:t xml:space="preserve">Línea: Violencia Política contra las Mujeres en Razón de Género. </w:t>
      </w:r>
    </w:p>
    <w:p w14:paraId="00000005" w14:textId="48EF32D3" w:rsidR="00800604" w:rsidRPr="00037D7D" w:rsidRDefault="00B727F5">
      <w:pPr>
        <w:spacing w:after="0" w:line="240" w:lineRule="auto"/>
        <w:ind w:right="-79"/>
        <w:jc w:val="both"/>
        <w:rPr>
          <w:rFonts w:ascii="Arial" w:eastAsia="Arial" w:hAnsi="Arial" w:cs="Arial"/>
          <w:b/>
          <w:sz w:val="20"/>
          <w:szCs w:val="20"/>
        </w:rPr>
      </w:pPr>
      <w:r w:rsidRPr="00037D7D">
        <w:rPr>
          <w:rFonts w:ascii="Arial" w:eastAsia="Arial" w:hAnsi="Arial" w:cs="Arial"/>
          <w:b/>
          <w:sz w:val="20"/>
          <w:szCs w:val="20"/>
        </w:rPr>
        <w:t>Coordina: Dra. Isabel Yoloxóchitl Corona Ruelas y Dra. Sandra Nadezhda Martínez Díaz Covarrubias. Estudiant</w:t>
      </w:r>
      <w:r w:rsidR="00037D7D">
        <w:rPr>
          <w:rFonts w:ascii="Arial" w:eastAsia="Arial" w:hAnsi="Arial" w:cs="Arial"/>
          <w:b/>
          <w:sz w:val="20"/>
          <w:szCs w:val="20"/>
        </w:rPr>
        <w:t>a</w:t>
      </w:r>
      <w:r w:rsidRPr="00037D7D">
        <w:rPr>
          <w:rFonts w:ascii="Arial" w:eastAsia="Arial" w:hAnsi="Arial" w:cs="Arial"/>
          <w:b/>
          <w:sz w:val="20"/>
          <w:szCs w:val="20"/>
        </w:rPr>
        <w:t>: Diana Yareli Almaguer Ceras (</w:t>
      </w:r>
      <w:r w:rsidR="00037D7D">
        <w:rPr>
          <w:rFonts w:ascii="Arial" w:eastAsia="Arial" w:hAnsi="Arial" w:cs="Arial"/>
          <w:b/>
          <w:sz w:val="20"/>
          <w:szCs w:val="20"/>
        </w:rPr>
        <w:t xml:space="preserve">Estudios políticos, </w:t>
      </w:r>
      <w:r w:rsidRPr="00037D7D">
        <w:rPr>
          <w:rFonts w:ascii="Arial" w:eastAsia="Arial" w:hAnsi="Arial" w:cs="Arial"/>
          <w:b/>
          <w:sz w:val="20"/>
          <w:szCs w:val="20"/>
        </w:rPr>
        <w:t xml:space="preserve">UDEG). </w:t>
      </w:r>
      <w:r w:rsidR="00037D7D" w:rsidRPr="00037D7D">
        <w:rPr>
          <w:rFonts w:ascii="Arial" w:eastAsia="Arial" w:hAnsi="Arial" w:cs="Arial"/>
          <w:b/>
          <w:sz w:val="20"/>
          <w:szCs w:val="20"/>
        </w:rPr>
        <w:t>Modera: Dra. Mónica Montaño, Coordinadora del Observatorio.</w:t>
      </w:r>
    </w:p>
    <w:p w14:paraId="314AA6F1" w14:textId="77777777" w:rsidR="00037D7D" w:rsidRDefault="00037D7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-79"/>
        <w:jc w:val="both"/>
        <w:rPr>
          <w:rFonts w:ascii="Arial" w:eastAsia="Arial" w:hAnsi="Arial" w:cs="Arial"/>
          <w:sz w:val="20"/>
          <w:szCs w:val="20"/>
        </w:rPr>
      </w:pPr>
    </w:p>
    <w:p w14:paraId="00000008" w14:textId="69099FF7" w:rsidR="00800604" w:rsidRPr="00037D7D" w:rsidRDefault="00037D7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-7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El análisis </w:t>
      </w:r>
      <w:r w:rsidR="00B727F5" w:rsidRPr="00037D7D">
        <w:rPr>
          <w:rFonts w:ascii="Arial" w:eastAsia="Arial" w:hAnsi="Arial" w:cs="Arial"/>
          <w:sz w:val="20"/>
          <w:szCs w:val="20"/>
        </w:rPr>
        <w:t>se construyó a partir de dos tipos de</w:t>
      </w:r>
      <w:r w:rsidR="00B727F5" w:rsidRPr="00037D7D">
        <w:rPr>
          <w:rFonts w:ascii="Arial" w:eastAsia="Arial" w:hAnsi="Arial" w:cs="Arial"/>
          <w:sz w:val="20"/>
          <w:szCs w:val="20"/>
        </w:rPr>
        <w:t xml:space="preserve"> procedimientos: el Juicio para la Protección de los Derechos Político-Electorales de la Ciudadanía (JDC) y el Procedimiento Especial Sancionador (PES). Identificamos un total de 11 sentencias en la materia en nuestro estado, distribuidas en 8 municipios. </w:t>
      </w:r>
      <w:r w:rsidR="00B727F5" w:rsidRPr="00037D7D">
        <w:rPr>
          <w:rFonts w:ascii="Arial" w:eastAsia="Arial" w:hAnsi="Arial" w:cs="Arial"/>
          <w:sz w:val="20"/>
          <w:szCs w:val="20"/>
        </w:rPr>
        <w:t>La primera sentencia en Jalisco es del 2018, en Puerto Vallarta. Por año, encontramos: una de 2018, una de 2019, una de 2020, seis de 2021, y dos de 2022. En cuanto a la procedencia de los hechos denunciados, Puerto Vallarta encabeza el listado como munici</w:t>
      </w:r>
      <w:r w:rsidR="00B727F5" w:rsidRPr="00037D7D">
        <w:rPr>
          <w:rFonts w:ascii="Arial" w:eastAsia="Arial" w:hAnsi="Arial" w:cs="Arial"/>
          <w:sz w:val="20"/>
          <w:szCs w:val="20"/>
        </w:rPr>
        <w:t>pio con más sentencias, con 3. Sigue Tlaquepaque con 2, y después Cihuatlán, Guadalajara, Sayula, Tlajomulco de Zúñiga, Zapotlán el Grande y Zapotlanejo, con 1 sentencia cada uno. 4 sentencias proceden de denuncias interpuestas por mujeres candidatas a alg</w:t>
      </w:r>
      <w:r w:rsidR="00B727F5" w:rsidRPr="00037D7D">
        <w:rPr>
          <w:rFonts w:ascii="Arial" w:eastAsia="Arial" w:hAnsi="Arial" w:cs="Arial"/>
          <w:sz w:val="20"/>
          <w:szCs w:val="20"/>
        </w:rPr>
        <w:t xml:space="preserve">ún cargo público y 7 por mujeres en el ejercicio de algún cargo público. El cargo público que predomina entre las mujeres agredidas es el de regidoras con 6, después están las mujeres candidatas a algún cargo público con 4 sentencias y, en menor medida, a </w:t>
      </w:r>
      <w:r w:rsidR="00B727F5" w:rsidRPr="00037D7D">
        <w:rPr>
          <w:rFonts w:ascii="Arial" w:eastAsia="Arial" w:hAnsi="Arial" w:cs="Arial"/>
          <w:sz w:val="20"/>
          <w:szCs w:val="20"/>
        </w:rPr>
        <w:t>diputadas con 1 sentencia.</w:t>
      </w:r>
    </w:p>
    <w:p w14:paraId="00000009" w14:textId="77777777" w:rsidR="00800604" w:rsidRPr="00037D7D" w:rsidRDefault="00B727F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-79"/>
        <w:jc w:val="both"/>
        <w:rPr>
          <w:rFonts w:ascii="Arial" w:eastAsia="Arial" w:hAnsi="Arial" w:cs="Arial"/>
          <w:sz w:val="20"/>
          <w:szCs w:val="20"/>
        </w:rPr>
      </w:pPr>
      <w:r w:rsidRPr="00037D7D">
        <w:rPr>
          <w:rFonts w:ascii="Arial" w:eastAsia="Arial" w:hAnsi="Arial" w:cs="Arial"/>
          <w:sz w:val="20"/>
          <w:szCs w:val="20"/>
        </w:rPr>
        <w:t xml:space="preserve">Las 11 sentencias contienen un total de 29 conductas diferentes denunciadas. 55% se concentran en divulgar imágenes, mensajes o información privada de una mujer candidata o en funciones, por cualquier medio físico o virtual, con </w:t>
      </w:r>
      <w:r w:rsidRPr="00037D7D">
        <w:rPr>
          <w:rFonts w:ascii="Arial" w:eastAsia="Arial" w:hAnsi="Arial" w:cs="Arial"/>
          <w:sz w:val="20"/>
          <w:szCs w:val="20"/>
        </w:rPr>
        <w:t>el propósito de desacreditarla, difamarla, denigrarla y poner en entredicho su capacidad o habilidades para la política, con base en estereotipos de género. 10% en impedir, por cualquier medio, que las mujeres electas o designadas a cualquier puesto o enca</w:t>
      </w:r>
      <w:r w:rsidRPr="00037D7D">
        <w:rPr>
          <w:rFonts w:ascii="Arial" w:eastAsia="Arial" w:hAnsi="Arial" w:cs="Arial"/>
          <w:sz w:val="20"/>
          <w:szCs w:val="20"/>
        </w:rPr>
        <w:t>rgo público tomen protesta de su encargo, asistan a las sesiones ordinarias o extraordinarias o a cualquier otra actividad que implique la toma de decisiones y el ejercicio del cargo, impidiendo o suprimiendo su derecho a voz y voto; 10% en amenazar o inti</w:t>
      </w:r>
      <w:r w:rsidRPr="00037D7D">
        <w:rPr>
          <w:rFonts w:ascii="Arial" w:eastAsia="Arial" w:hAnsi="Arial" w:cs="Arial"/>
          <w:sz w:val="20"/>
          <w:szCs w:val="20"/>
        </w:rPr>
        <w:t>midar a una o varias mujeres o a su familia o colaboradores con el objeto de inducir su renuncia a la candidatura o al cargo para el que fue electa o designada y; 10% en ejercer violencia física, sexual, simbólica, psicológica, institucional, económica o p</w:t>
      </w:r>
      <w:r w:rsidRPr="00037D7D">
        <w:rPr>
          <w:rFonts w:ascii="Arial" w:eastAsia="Arial" w:hAnsi="Arial" w:cs="Arial"/>
          <w:sz w:val="20"/>
          <w:szCs w:val="20"/>
        </w:rPr>
        <w:t xml:space="preserve">atrimonial, o cualquier otra similar o análoga, en contra de una o varias mujeres en el ejercicio de sus derechos políticos. </w:t>
      </w:r>
    </w:p>
    <w:p w14:paraId="0000000A" w14:textId="77777777" w:rsidR="00800604" w:rsidRPr="00037D7D" w:rsidRDefault="00B727F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-79"/>
        <w:jc w:val="both"/>
        <w:rPr>
          <w:rFonts w:ascii="Arial" w:eastAsia="Arial" w:hAnsi="Arial" w:cs="Arial"/>
          <w:sz w:val="20"/>
          <w:szCs w:val="20"/>
        </w:rPr>
      </w:pPr>
      <w:r w:rsidRPr="00037D7D">
        <w:rPr>
          <w:rFonts w:ascii="Arial" w:eastAsia="Arial" w:hAnsi="Arial" w:cs="Arial"/>
          <w:sz w:val="20"/>
          <w:szCs w:val="20"/>
        </w:rPr>
        <w:t>Entre las 11 personas sentenciad</w:t>
      </w:r>
      <w:bookmarkStart w:id="0" w:name="_GoBack"/>
      <w:bookmarkEnd w:id="0"/>
      <w:r w:rsidRPr="00037D7D">
        <w:rPr>
          <w:rFonts w:ascii="Arial" w:eastAsia="Arial" w:hAnsi="Arial" w:cs="Arial"/>
          <w:sz w:val="20"/>
          <w:szCs w:val="20"/>
        </w:rPr>
        <w:t>as encontramos 1 mujer y 10 hombres, así como 1 medio de comunicación. De las personas sentenciada</w:t>
      </w:r>
      <w:r w:rsidRPr="00037D7D">
        <w:rPr>
          <w:rFonts w:ascii="Arial" w:eastAsia="Arial" w:hAnsi="Arial" w:cs="Arial"/>
          <w:sz w:val="20"/>
          <w:szCs w:val="20"/>
        </w:rPr>
        <w:t>s, 5 ejercen el periodismo o trabajan en medios de comunicación. El registro de personas sentenciadas comenzó en 2020, y de las 11 personas sentenciadas, solo 4 entraron al registro, de las cuales, 3 se desempeñan profesionalmente en medios de comunicación</w:t>
      </w:r>
      <w:r w:rsidRPr="00037D7D">
        <w:rPr>
          <w:rFonts w:ascii="Arial" w:eastAsia="Arial" w:hAnsi="Arial" w:cs="Arial"/>
          <w:sz w:val="20"/>
          <w:szCs w:val="20"/>
        </w:rPr>
        <w:t>. Solo se han impuesto dos sanciones económicas, una por la cantidad de $ 5,077. 80 y otra por el equivalente a $13,443.00.</w:t>
      </w:r>
    </w:p>
    <w:p w14:paraId="0000000B" w14:textId="77777777" w:rsidR="00800604" w:rsidRPr="00037D7D" w:rsidRDefault="00B727F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-79"/>
        <w:jc w:val="both"/>
        <w:rPr>
          <w:rFonts w:ascii="Arial" w:eastAsia="Arial" w:hAnsi="Arial" w:cs="Arial"/>
          <w:sz w:val="20"/>
          <w:szCs w:val="20"/>
        </w:rPr>
      </w:pPr>
      <w:r w:rsidRPr="00037D7D">
        <w:rPr>
          <w:rFonts w:ascii="Arial" w:eastAsia="Arial" w:hAnsi="Arial" w:cs="Arial"/>
          <w:sz w:val="20"/>
          <w:szCs w:val="20"/>
        </w:rPr>
        <w:t>Algunas reflexiones son: Puerto Vallarta es un espacio de gran incidencia de VPMRG y violencias de género. Resalta que la mayoría so</w:t>
      </w:r>
      <w:r w:rsidRPr="00037D7D">
        <w:rPr>
          <w:rFonts w:ascii="Arial" w:eastAsia="Arial" w:hAnsi="Arial" w:cs="Arial"/>
          <w:sz w:val="20"/>
          <w:szCs w:val="20"/>
        </w:rPr>
        <w:t xml:space="preserve">n municipios del AMG, 3 municipios medios y uno pequeño; por lo que hemos observado en municipios pequeños es poca o inexistente la información, redes u acompañamiento a las mujeres políticas y se centralizan algunos recursos en el AMG. Alta incidencia de </w:t>
      </w:r>
      <w:r w:rsidRPr="00037D7D">
        <w:rPr>
          <w:rFonts w:ascii="Arial" w:eastAsia="Arial" w:hAnsi="Arial" w:cs="Arial"/>
          <w:sz w:val="20"/>
          <w:szCs w:val="20"/>
        </w:rPr>
        <w:t>VPMRG contra regidoras y candidatas.Prácticamente existen todos los tipos de violencia en las denuncias. Sobre las personas agresoras: destacan personas periodistas y/o pertenecientes a medios de comunicación. Hacemos un llamado a los medios de comunicació</w:t>
      </w:r>
      <w:r w:rsidRPr="00037D7D">
        <w:rPr>
          <w:rFonts w:ascii="Arial" w:eastAsia="Arial" w:hAnsi="Arial" w:cs="Arial"/>
          <w:sz w:val="20"/>
          <w:szCs w:val="20"/>
        </w:rPr>
        <w:t>n, ya que contamos con buenas prácticas que podrían replicarse. Se observa que varias resoluciones del Tribual Electoral Local han sido revocadas parcial o completamente. Preocupa su retiro del OPPMJ.</w:t>
      </w:r>
    </w:p>
    <w:sectPr w:rsidR="00800604" w:rsidRPr="00037D7D">
      <w:headerReference w:type="default" r:id="rId6"/>
      <w:footerReference w:type="default" r:id="rId7"/>
      <w:pgSz w:w="12240" w:h="15840"/>
      <w:pgMar w:top="1418" w:right="1701" w:bottom="1418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5D9B00" w14:textId="77777777" w:rsidR="00B727F5" w:rsidRDefault="00B727F5">
      <w:pPr>
        <w:spacing w:after="0" w:line="240" w:lineRule="auto"/>
      </w:pPr>
      <w:r>
        <w:separator/>
      </w:r>
    </w:p>
  </w:endnote>
  <w:endnote w:type="continuationSeparator" w:id="0">
    <w:p w14:paraId="1CDB70BF" w14:textId="77777777" w:rsidR="00B727F5" w:rsidRDefault="00B727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0D" w14:textId="77777777" w:rsidR="00800604" w:rsidRDefault="00B727F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right"/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 xml:space="preserve">www.observatorioelectoral.cucsh.udg.mx   </w:t>
    </w:r>
  </w:p>
  <w:p w14:paraId="0000000E" w14:textId="77777777" w:rsidR="00800604" w:rsidRDefault="00B727F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right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e-mail: observatorioudg@csh.udg.mx teléfono: 38193300 ext. 23306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D258D8" w14:textId="77777777" w:rsidR="00B727F5" w:rsidRDefault="00B727F5">
      <w:pPr>
        <w:spacing w:after="0" w:line="240" w:lineRule="auto"/>
      </w:pPr>
      <w:r>
        <w:separator/>
      </w:r>
    </w:p>
  </w:footnote>
  <w:footnote w:type="continuationSeparator" w:id="0">
    <w:p w14:paraId="53E149F3" w14:textId="77777777" w:rsidR="00B727F5" w:rsidRDefault="00B727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0C" w14:textId="77777777" w:rsidR="00800604" w:rsidRDefault="00037D7D">
    <w:pPr>
      <w:tabs>
        <w:tab w:val="center" w:pos="4419"/>
        <w:tab w:val="right" w:pos="8838"/>
      </w:tabs>
      <w:spacing w:line="240" w:lineRule="auto"/>
      <w:ind w:left="-1559"/>
      <w:rPr>
        <w:color w:val="000000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591EBCF9">
          <wp:simplePos x="0" y="0"/>
          <wp:positionH relativeFrom="margin">
            <wp:posOffset>-1981200</wp:posOffset>
          </wp:positionH>
          <wp:positionV relativeFrom="paragraph">
            <wp:posOffset>-469265</wp:posOffset>
          </wp:positionV>
          <wp:extent cx="7745095" cy="10020300"/>
          <wp:effectExtent l="0" t="0" r="1905" b="0"/>
          <wp:wrapNone/>
          <wp:docPr id="1" name="Imagen 1" descr="hojamembretada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ojamembretada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5095" cy="10020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9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0604"/>
    <w:rsid w:val="00037D7D"/>
    <w:rsid w:val="00800604"/>
    <w:rsid w:val="00817DE8"/>
    <w:rsid w:val="00B72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ACC1C3"/>
  <w15:docId w15:val="{549A5AA8-9629-E549-8E43-66A57F4CE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s-MX" w:eastAsia="es-ES_trad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611</Words>
  <Characters>3364</Characters>
  <Application>Microsoft Office Word</Application>
  <DocSecurity>0</DocSecurity>
  <Lines>28</Lines>
  <Paragraphs>7</Paragraphs>
  <ScaleCrop>false</ScaleCrop>
  <Company/>
  <LinksUpToDate>false</LinksUpToDate>
  <CharactersWithSpaces>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2023-07-10T17:47:00Z</dcterms:created>
  <dcterms:modified xsi:type="dcterms:W3CDTF">2023-07-10T17:47:00Z</dcterms:modified>
</cp:coreProperties>
</file>